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857B" w14:textId="55D6A3E8" w:rsidR="00B27535" w:rsidRPr="00DD2C6A" w:rsidRDefault="00B27535" w:rsidP="00DD2C6A">
      <w:pPr>
        <w:pStyle w:val="Akapitzlist"/>
        <w:spacing w:after="80" w:line="240" w:lineRule="auto"/>
        <w:ind w:left="0"/>
        <w:contextualSpacing w:val="0"/>
        <w:jc w:val="right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Załącznik nr </w:t>
      </w:r>
      <w:r w:rsidR="001D5174">
        <w:rPr>
          <w:rFonts w:ascii="Tahoma" w:hAnsi="Tahoma" w:cs="Tahoma"/>
          <w:bCs/>
          <w:sz w:val="20"/>
          <w:szCs w:val="20"/>
        </w:rPr>
        <w:t>2</w:t>
      </w:r>
      <w:r w:rsidRPr="00DD2C6A">
        <w:rPr>
          <w:rFonts w:ascii="Tahoma" w:hAnsi="Tahoma" w:cs="Tahoma"/>
          <w:bCs/>
          <w:sz w:val="20"/>
          <w:szCs w:val="20"/>
        </w:rPr>
        <w:t xml:space="preserve"> do Zapytania ofertowego </w:t>
      </w:r>
    </w:p>
    <w:p w14:paraId="1BFB8AC4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1C0734D5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9C03346" w14:textId="12C2DF89" w:rsidR="00B27535" w:rsidRPr="00DD2C6A" w:rsidRDefault="00B27535" w:rsidP="00445307">
      <w:pPr>
        <w:spacing w:after="80" w:line="240" w:lineRule="auto"/>
        <w:rPr>
          <w:rFonts w:ascii="Tahoma" w:hAnsi="Tahoma" w:cs="Tahoma"/>
          <w:b/>
          <w:sz w:val="20"/>
          <w:szCs w:val="20"/>
        </w:rPr>
      </w:pPr>
      <w:r w:rsidRPr="00DD2C6A">
        <w:rPr>
          <w:rFonts w:ascii="Tahoma" w:hAnsi="Tahoma" w:cs="Tahoma"/>
          <w:b/>
          <w:sz w:val="20"/>
          <w:szCs w:val="20"/>
        </w:rPr>
        <w:t xml:space="preserve">OŚWIADCZENIE O BRAKU PRZESŁANEK O KTÓRYCH MOWA W ART. 7 USTAWY Z DNIA 13 KWIETNIA 2022 R. O SZCZEGÓLNYCH ROZWIĄZANIACH W ZAKRESIE PRZECIWDZIAŁANIA WSPIERANIU AGRESJI NA UKRAINĘ ORAZ SŁUŻĄCYCH OCHRONIE BEZPIECZEŃSTWA NARODOWEGO </w:t>
      </w:r>
    </w:p>
    <w:p w14:paraId="1D7BD368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26A017E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27C807E8" w14:textId="64726CB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Niniejszym </w:t>
      </w:r>
      <w:r w:rsidRPr="00DD2C6A">
        <w:rPr>
          <w:rFonts w:ascii="Tahoma" w:hAnsi="Tahoma" w:cs="Tahoma"/>
          <w:b/>
          <w:sz w:val="20"/>
          <w:szCs w:val="20"/>
        </w:rPr>
        <w:t>oświadczam, że</w:t>
      </w:r>
      <w:r w:rsidR="00980174">
        <w:rPr>
          <w:rFonts w:ascii="Tahoma" w:hAnsi="Tahoma" w:cs="Tahoma"/>
          <w:b/>
          <w:sz w:val="20"/>
          <w:szCs w:val="20"/>
        </w:rPr>
        <w:t>:</w:t>
      </w:r>
    </w:p>
    <w:p w14:paraId="3FE40D8C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(pełna nazwa Wykonawcy)</w:t>
      </w:r>
    </w:p>
    <w:p w14:paraId="363D8173" w14:textId="77777777" w:rsidR="00B27535" w:rsidRPr="00DD2C6A" w:rsidRDefault="00B27535" w:rsidP="00445307">
      <w:pPr>
        <w:tabs>
          <w:tab w:val="left" w:pos="2400"/>
        </w:tabs>
        <w:spacing w:after="80" w:line="240" w:lineRule="auto"/>
        <w:rPr>
          <w:rFonts w:ascii="Tahoma" w:hAnsi="Tahoma" w:cs="Tahoma"/>
          <w:bCs/>
          <w:sz w:val="20"/>
          <w:szCs w:val="20"/>
        </w:rPr>
      </w:pPr>
    </w:p>
    <w:p w14:paraId="2A4FC238" w14:textId="14C188FE" w:rsidR="00B27535" w:rsidRPr="00DD2C6A" w:rsidRDefault="00B27535" w:rsidP="00445307">
      <w:pPr>
        <w:pStyle w:val="Akapitzlist"/>
        <w:ind w:left="284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nie zachodzą wobec mnie przesłanki wykluczenia z postępowania, </w:t>
      </w:r>
      <w:bookmarkStart w:id="0" w:name="_Hlk172787865"/>
      <w:r w:rsidRPr="00DD2C6A">
        <w:rPr>
          <w:rFonts w:ascii="Tahoma" w:hAnsi="Tahoma" w:cs="Tahoma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narodowego, o treści</w:t>
      </w:r>
      <w:bookmarkEnd w:id="0"/>
      <w:r w:rsidRPr="00DD2C6A">
        <w:rPr>
          <w:rFonts w:ascii="Tahoma" w:hAnsi="Tahoma" w:cs="Tahoma"/>
          <w:bCs/>
          <w:sz w:val="20"/>
          <w:szCs w:val="20"/>
        </w:rPr>
        <w:t xml:space="preserve">: </w:t>
      </w:r>
    </w:p>
    <w:p w14:paraId="50DA9D35" w14:textId="77777777" w:rsidR="00B27535" w:rsidRPr="00DD2C6A" w:rsidRDefault="00B27535" w:rsidP="00445307">
      <w:pPr>
        <w:pStyle w:val="Akapitzlist"/>
        <w:spacing w:after="80" w:line="240" w:lineRule="auto"/>
        <w:ind w:left="284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DD2C6A" w:rsidRDefault="00B27535" w:rsidP="00445307">
      <w:pPr>
        <w:pStyle w:val="Akapitzlist"/>
        <w:numPr>
          <w:ilvl w:val="1"/>
          <w:numId w:val="2"/>
        </w:numPr>
        <w:spacing w:after="80" w:line="240" w:lineRule="auto"/>
        <w:ind w:left="709" w:hanging="284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5FB129F3" w:rsidR="00B27535" w:rsidRPr="00DD2C6A" w:rsidRDefault="00B27535" w:rsidP="00445307">
      <w:pPr>
        <w:pStyle w:val="Akapitzlist"/>
        <w:numPr>
          <w:ilvl w:val="1"/>
          <w:numId w:val="2"/>
        </w:numPr>
        <w:spacing w:after="80" w:line="240" w:lineRule="auto"/>
        <w:ind w:left="709" w:hanging="284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29C3C399" w14:textId="2AA33987" w:rsidR="00B27535" w:rsidRPr="00DD2C6A" w:rsidRDefault="2A17B9CF" w:rsidP="00445307">
      <w:pPr>
        <w:pStyle w:val="Akapitzlist"/>
        <w:numPr>
          <w:ilvl w:val="1"/>
          <w:numId w:val="2"/>
        </w:numPr>
        <w:spacing w:after="80" w:line="240" w:lineRule="auto"/>
        <w:ind w:left="709" w:hanging="284"/>
        <w:rPr>
          <w:rFonts w:ascii="Tahoma" w:hAnsi="Tahoma" w:cs="Tahoma"/>
          <w:i/>
          <w:iCs/>
          <w:sz w:val="20"/>
          <w:szCs w:val="20"/>
        </w:rPr>
      </w:pPr>
      <w:r w:rsidRPr="00DD2C6A">
        <w:rPr>
          <w:rFonts w:ascii="Tahoma" w:hAnsi="Tahoma" w:cs="Tahoma"/>
          <w:i/>
          <w:iCs/>
          <w:sz w:val="20"/>
          <w:szCs w:val="20"/>
        </w:rPr>
        <w:t>w</w:t>
      </w:r>
      <w:r w:rsidR="00B27535" w:rsidRPr="00DD2C6A">
        <w:rPr>
          <w:rFonts w:ascii="Tahoma" w:hAnsi="Tahoma" w:cs="Tahoma"/>
          <w:i/>
          <w:iCs/>
          <w:sz w:val="20"/>
          <w:szCs w:val="20"/>
        </w:rPr>
        <w:t>ykonawcę</w:t>
      </w:r>
      <w:r w:rsidR="5551DA8C" w:rsidRPr="00DD2C6A">
        <w:rPr>
          <w:rFonts w:ascii="Tahoma" w:hAnsi="Tahoma" w:cs="Tahoma"/>
          <w:i/>
          <w:iCs/>
          <w:sz w:val="20"/>
          <w:szCs w:val="20"/>
        </w:rPr>
        <w:t>,</w:t>
      </w:r>
      <w:r w:rsidR="00B27535" w:rsidRPr="00DD2C6A">
        <w:rPr>
          <w:rFonts w:ascii="Tahoma" w:hAnsi="Tahoma" w:cs="Tahoma"/>
          <w:i/>
          <w:iCs/>
          <w:sz w:val="20"/>
          <w:szCs w:val="20"/>
        </w:rPr>
        <w:t xml:space="preserve">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3340E1BE" w14:textId="77777777" w:rsidR="00AC04BF" w:rsidRPr="00DD2C6A" w:rsidRDefault="00AC04BF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D031320" w14:textId="77777777" w:rsidR="00AC04BF" w:rsidRPr="00DD2C6A" w:rsidRDefault="00AC04BF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4855017" w14:textId="77777777" w:rsidR="00B27535" w:rsidRPr="00DD2C6A" w:rsidRDefault="00B27535" w:rsidP="00DD2C6A">
      <w:pPr>
        <w:spacing w:after="80" w:line="240" w:lineRule="auto"/>
        <w:ind w:left="5664" w:hanging="561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……………………………………</w:t>
      </w:r>
    </w:p>
    <w:p w14:paraId="595E4D6F" w14:textId="4E4AFF1D" w:rsidR="00B27535" w:rsidRPr="00DD2C6A" w:rsidRDefault="00B27535" w:rsidP="00DD2C6A">
      <w:pPr>
        <w:spacing w:after="80" w:line="240" w:lineRule="auto"/>
        <w:ind w:left="5664" w:hanging="3112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podpis osoby/osób uprawnionych do reprezentacji Wykonawcy</w:t>
      </w:r>
    </w:p>
    <w:p w14:paraId="11CD7551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4834F573" w14:textId="77777777" w:rsidR="007F6B26" w:rsidRPr="00DD2C6A" w:rsidRDefault="007F6B26" w:rsidP="00DD2C6A">
      <w:pPr>
        <w:jc w:val="both"/>
        <w:rPr>
          <w:rFonts w:ascii="Tahoma" w:hAnsi="Tahoma" w:cs="Tahoma"/>
        </w:rPr>
      </w:pPr>
    </w:p>
    <w:sectPr w:rsidR="007F6B26" w:rsidRPr="00DD2C6A" w:rsidSect="00B27535">
      <w:headerReference w:type="default" r:id="rId7"/>
      <w:footerReference w:type="default" r:id="rId8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41E6A" w14:textId="77777777" w:rsidR="00570C27" w:rsidRDefault="00570C27" w:rsidP="00570C27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  <w:r w:rsidRPr="00DB4B74">
      <w:rPr>
        <w:rFonts w:ascii="Verdana" w:eastAsia="Verdana" w:hAnsi="Verdana"/>
        <w:b/>
        <w:color w:val="000000"/>
        <w:spacing w:val="4"/>
        <w:sz w:val="20"/>
      </w:rPr>
      <w:t xml:space="preserve">Strona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PAGE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>
      <w:rPr>
        <w:rFonts w:ascii="Verdana" w:eastAsia="Verdana" w:hAnsi="Verdana"/>
        <w:b/>
        <w:color w:val="000000"/>
        <w:spacing w:val="4"/>
        <w:sz w:val="20"/>
      </w:rPr>
      <w:t>1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  <w:r w:rsidRPr="00DB4B74">
      <w:rPr>
        <w:rFonts w:ascii="Verdana" w:eastAsia="Verdana" w:hAnsi="Verdana"/>
        <w:b/>
        <w:color w:val="000000"/>
        <w:spacing w:val="4"/>
        <w:sz w:val="20"/>
      </w:rPr>
      <w:t xml:space="preserve"> z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NUMPAGES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>
      <w:rPr>
        <w:rFonts w:ascii="Verdana" w:eastAsia="Verdana" w:hAnsi="Verdana"/>
        <w:b/>
        <w:color w:val="000000"/>
        <w:spacing w:val="4"/>
        <w:sz w:val="20"/>
      </w:rPr>
      <w:t>3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</w:p>
  <w:p w14:paraId="08F29477" w14:textId="77777777" w:rsidR="00570C27" w:rsidRDefault="00570C27" w:rsidP="00570C27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5EEF94C9" w14:textId="77777777" w:rsidR="00570C27" w:rsidRPr="00DB4B74" w:rsidRDefault="00570C27" w:rsidP="00570C27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282BB96A" w14:textId="77777777" w:rsidR="00570C27" w:rsidRPr="00DB4B74" w:rsidRDefault="00570C27" w:rsidP="00570C27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0E173AA4" wp14:editId="2C316292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576678729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678729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F4F54" wp14:editId="63B356FA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0A6DE5" w14:textId="77777777" w:rsidR="00570C27" w:rsidRDefault="00570C27" w:rsidP="00570C27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3E26ABD4" w14:textId="77777777" w:rsidR="00570C27" w:rsidRDefault="00570C27" w:rsidP="00570C27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6C9AC259" w14:textId="77777777" w:rsidR="00570C27" w:rsidRDefault="00570C27" w:rsidP="00570C27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081EC47A" w14:textId="77777777" w:rsidR="00570C27" w:rsidRPr="004F5805" w:rsidRDefault="00570C27" w:rsidP="00570C27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F4F5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F0A6DE5" w14:textId="77777777" w:rsidR="00570C27" w:rsidRDefault="00570C27" w:rsidP="00570C27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3E26ABD4" w14:textId="77777777" w:rsidR="00570C27" w:rsidRDefault="00570C27" w:rsidP="00570C27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6C9AC259" w14:textId="77777777" w:rsidR="00570C27" w:rsidRDefault="00570C27" w:rsidP="00570C27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081EC47A" w14:textId="77777777" w:rsidR="00570C27" w:rsidRPr="004F5805" w:rsidRDefault="00570C27" w:rsidP="00570C27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3074DB8B" w14:textId="77777777" w:rsidR="00570C27" w:rsidRDefault="00570C27" w:rsidP="00570C27">
    <w:pPr>
      <w:pStyle w:val="Stopka"/>
    </w:pPr>
  </w:p>
  <w:p w14:paraId="4645259B" w14:textId="77777777" w:rsidR="002B2F54" w:rsidRDefault="002B2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50C55" w14:textId="3E6267BF" w:rsidR="002B2F54" w:rsidRDefault="002B2F54">
    <w:pPr>
      <w:pStyle w:val="Nagwek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1E7EDB" w14:textId="77777777" w:rsidR="00570C27" w:rsidRDefault="00570C27" w:rsidP="00570C27">
    <w:pPr>
      <w:pStyle w:val="Nagwek"/>
      <w:rPr>
        <w:rFonts w:ascii="Verdana" w:hAnsi="Verdana"/>
        <w:szCs w:val="18"/>
      </w:rPr>
    </w:pPr>
    <w:r w:rsidRPr="00300980">
      <w:rPr>
        <w:rFonts w:ascii="Verdana" w:hAnsi="Verdana"/>
        <w:szCs w:val="18"/>
      </w:rPr>
      <w:t>Zamówienie realizowane w ramach Krajowego Planu Odbudowy i Zwiększenia Odporności, w ramach Projektu pn.: Centrum Badawczo-Rozwojowe Innowacyjnych Napędów i Struktur Lotniczych.</w:t>
    </w:r>
    <w:r>
      <w:rPr>
        <w:rFonts w:ascii="Verdana" w:hAnsi="Verdana"/>
        <w:szCs w:val="18"/>
      </w:rPr>
      <w:t xml:space="preserve"> </w:t>
    </w:r>
  </w:p>
  <w:p w14:paraId="1FF55082" w14:textId="77777777" w:rsidR="00570C27" w:rsidRPr="00300980" w:rsidRDefault="00570C27" w:rsidP="00570C27">
    <w:pPr>
      <w:pStyle w:val="Nagwek"/>
      <w:rPr>
        <w:rFonts w:ascii="Verdana" w:hAnsi="Verdana"/>
        <w:szCs w:val="18"/>
      </w:rPr>
    </w:pPr>
    <w:r>
      <w:rPr>
        <w:rFonts w:ascii="Verdana" w:hAnsi="Verdana"/>
        <w:szCs w:val="18"/>
      </w:rPr>
      <w:t>Znak sprawy: DZP.26.1.2026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0F2B42"/>
    <w:rsid w:val="000F7B87"/>
    <w:rsid w:val="00134B1C"/>
    <w:rsid w:val="001D5174"/>
    <w:rsid w:val="002B2F54"/>
    <w:rsid w:val="002E4D7C"/>
    <w:rsid w:val="00340B9F"/>
    <w:rsid w:val="00445307"/>
    <w:rsid w:val="00480B1E"/>
    <w:rsid w:val="004B2870"/>
    <w:rsid w:val="004C78D1"/>
    <w:rsid w:val="004E36F1"/>
    <w:rsid w:val="005235AF"/>
    <w:rsid w:val="00570C27"/>
    <w:rsid w:val="00617C19"/>
    <w:rsid w:val="00637835"/>
    <w:rsid w:val="00757D80"/>
    <w:rsid w:val="007B56CD"/>
    <w:rsid w:val="007F6B26"/>
    <w:rsid w:val="00857170"/>
    <w:rsid w:val="008B7787"/>
    <w:rsid w:val="009268F8"/>
    <w:rsid w:val="0094287A"/>
    <w:rsid w:val="00980174"/>
    <w:rsid w:val="00A344CE"/>
    <w:rsid w:val="00AC04BF"/>
    <w:rsid w:val="00AD6F48"/>
    <w:rsid w:val="00B27535"/>
    <w:rsid w:val="00BD1198"/>
    <w:rsid w:val="00C74060"/>
    <w:rsid w:val="00CC1966"/>
    <w:rsid w:val="00D2457F"/>
    <w:rsid w:val="00DD2C6A"/>
    <w:rsid w:val="00E22A6D"/>
    <w:rsid w:val="00F35B56"/>
    <w:rsid w:val="00FE5BEC"/>
    <w:rsid w:val="03B48C9E"/>
    <w:rsid w:val="2A17B9CF"/>
    <w:rsid w:val="5551D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customStyle="1" w:styleId="LukStopka-adres">
    <w:name w:val="Luk_Stopka-adres"/>
    <w:basedOn w:val="Normalny"/>
    <w:qFormat/>
    <w:rsid w:val="00570C27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570C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8</cp:revision>
  <dcterms:created xsi:type="dcterms:W3CDTF">2025-06-03T09:34:00Z</dcterms:created>
  <dcterms:modified xsi:type="dcterms:W3CDTF">2026-01-16T10:33:00Z</dcterms:modified>
</cp:coreProperties>
</file>